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8"/>
        <w:gridCol w:w="5382"/>
      </w:tblGrid>
      <w:tr w:rsidR="00541AEB" w:rsidRPr="00541AEB" w:rsidTr="00541AEB">
        <w:tc>
          <w:tcPr>
            <w:tcW w:w="10790" w:type="dxa"/>
            <w:gridSpan w:val="2"/>
          </w:tcPr>
          <w:p w:rsidR="00541AEB" w:rsidRPr="00541AEB" w:rsidRDefault="00541AEB" w:rsidP="00541A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1AEB">
              <w:rPr>
                <w:rFonts w:ascii="Times New Roman" w:hAnsi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541AEB" w:rsidRPr="00541AEB" w:rsidRDefault="00541AEB" w:rsidP="00541AE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EB">
              <w:rPr>
                <w:rFonts w:ascii="Times New Roman" w:hAnsi="Times New Roman" w:cs="Times New Roman"/>
                <w:sz w:val="28"/>
                <w:szCs w:val="28"/>
              </w:rPr>
              <w:t>(відповідно до пункту 4</w:t>
            </w:r>
            <w:r w:rsidRPr="00541A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541AEB">
              <w:rPr>
                <w:rFonts w:ascii="Times New Roman" w:hAnsi="Times New Roman" w:cs="Times New Roman"/>
                <w:sz w:val="28"/>
                <w:szCs w:val="28"/>
              </w:rPr>
              <w:t>постанови КМУ від 11.10.2016 № 710 «Про ефективне використання державних коштів» (зі змінами))</w:t>
            </w:r>
          </w:p>
        </w:tc>
      </w:tr>
      <w:tr w:rsidR="00541AEB" w:rsidRPr="00541AEB" w:rsidTr="00541AEB">
        <w:tc>
          <w:tcPr>
            <w:tcW w:w="5408" w:type="dxa"/>
          </w:tcPr>
          <w:p w:rsidR="00541AEB" w:rsidRPr="00541AEB" w:rsidRDefault="00541AEB" w:rsidP="00541AE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 w:line="240" w:lineRule="auto"/>
              <w:ind w:left="0" w:firstLine="425"/>
              <w:jc w:val="both"/>
              <w:rPr>
                <w:sz w:val="24"/>
                <w:szCs w:val="24"/>
              </w:rPr>
            </w:pPr>
            <w:r w:rsidRPr="0054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Найменування, місце 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      </w:r>
          </w:p>
        </w:tc>
        <w:tc>
          <w:tcPr>
            <w:tcW w:w="5382" w:type="dxa"/>
          </w:tcPr>
          <w:p w:rsidR="00541AEB" w:rsidRPr="00541AEB" w:rsidRDefault="00541AEB" w:rsidP="00541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AEB">
              <w:rPr>
                <w:rFonts w:ascii="Times New Roman" w:hAnsi="Times New Roman"/>
                <w:b/>
                <w:sz w:val="24"/>
                <w:szCs w:val="24"/>
              </w:rPr>
              <w:t>Комунальний заклад Сумської обласної ради «Сумська обласна гімназія-інтернат для талановитих та творчо обдарованих дітей»</w:t>
            </w:r>
          </w:p>
          <w:p w:rsidR="00541AEB" w:rsidRPr="00541AEB" w:rsidRDefault="00541AEB" w:rsidP="00541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AEB">
              <w:rPr>
                <w:rFonts w:ascii="Times New Roman" w:hAnsi="Times New Roman"/>
                <w:b/>
                <w:sz w:val="24"/>
                <w:szCs w:val="24"/>
              </w:rPr>
              <w:t>Код за ЄДРПОУ 33724309</w:t>
            </w:r>
          </w:p>
          <w:p w:rsidR="00541AEB" w:rsidRPr="00541AEB" w:rsidRDefault="00541AEB" w:rsidP="00541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AEB">
              <w:rPr>
                <w:rFonts w:ascii="Times New Roman" w:hAnsi="Times New Roman"/>
                <w:b/>
                <w:sz w:val="24"/>
                <w:szCs w:val="24"/>
              </w:rPr>
              <w:t xml:space="preserve">40031, м. Суми, </w:t>
            </w:r>
            <w:proofErr w:type="spellStart"/>
            <w:r w:rsidRPr="00541AEB">
              <w:rPr>
                <w:rFonts w:ascii="Times New Roman" w:hAnsi="Times New Roman"/>
                <w:b/>
                <w:sz w:val="24"/>
                <w:szCs w:val="24"/>
              </w:rPr>
              <w:t>пров</w:t>
            </w:r>
            <w:proofErr w:type="spellEnd"/>
            <w:r w:rsidRPr="00541AEB">
              <w:rPr>
                <w:rFonts w:ascii="Times New Roman" w:hAnsi="Times New Roman"/>
                <w:b/>
                <w:sz w:val="24"/>
                <w:szCs w:val="24"/>
              </w:rPr>
              <w:t>. Березовий 28</w:t>
            </w:r>
          </w:p>
        </w:tc>
      </w:tr>
      <w:tr w:rsidR="00541AEB" w:rsidRPr="00541AEB" w:rsidTr="00541AEB">
        <w:tc>
          <w:tcPr>
            <w:tcW w:w="5408" w:type="dxa"/>
          </w:tcPr>
          <w:p w:rsidR="00541AEB" w:rsidRPr="00541AEB" w:rsidRDefault="00541AEB" w:rsidP="00541AE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382" w:type="dxa"/>
          </w:tcPr>
          <w:p w:rsidR="00541AEB" w:rsidRPr="00541AEB" w:rsidRDefault="008E545A" w:rsidP="00541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45A">
              <w:rPr>
                <w:rFonts w:ascii="Times New Roman" w:hAnsi="Times New Roman"/>
                <w:b/>
                <w:sz w:val="24"/>
                <w:szCs w:val="24"/>
              </w:rPr>
              <w:t xml:space="preserve">Класифікація за ДК 021:2015: 09320000-8 - Пара, гаряча вода та пов’язана продукція </w:t>
            </w:r>
            <w:r w:rsidR="00EB733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545A">
              <w:rPr>
                <w:rFonts w:ascii="Times New Roman" w:hAnsi="Times New Roman"/>
                <w:b/>
                <w:sz w:val="24"/>
                <w:szCs w:val="24"/>
              </w:rPr>
              <w:t>Теплова енергія та послуги з постачання гарячої води</w:t>
            </w:r>
            <w:r w:rsidR="007F6B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E0E0C" w:rsidRPr="00541AEB" w:rsidTr="00541AEB">
        <w:tc>
          <w:tcPr>
            <w:tcW w:w="5408" w:type="dxa"/>
          </w:tcPr>
          <w:p w:rsidR="004E0E0C" w:rsidRDefault="004E0E0C" w:rsidP="00724058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Ідентифікатор закупівлі:</w:t>
            </w:r>
          </w:p>
          <w:p w:rsidR="002D741F" w:rsidRPr="00724058" w:rsidRDefault="002D741F" w:rsidP="00EB733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B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Переговорна процедура</w:t>
            </w:r>
            <w:r w:rsidR="00724058"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2" w:type="dxa"/>
          </w:tcPr>
          <w:p w:rsidR="004E0E0C" w:rsidRPr="00541AEB" w:rsidRDefault="008E545A" w:rsidP="00541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45A">
              <w:rPr>
                <w:rFonts w:ascii="Times New Roman" w:hAnsi="Times New Roman"/>
                <w:b/>
                <w:sz w:val="24"/>
                <w:szCs w:val="24"/>
              </w:rPr>
              <w:t>UA-2022-01-11-001118-b</w:t>
            </w:r>
          </w:p>
        </w:tc>
      </w:tr>
      <w:tr w:rsidR="00600B68" w:rsidRPr="00541AEB" w:rsidTr="00541AEB">
        <w:tc>
          <w:tcPr>
            <w:tcW w:w="5408" w:type="dxa"/>
          </w:tcPr>
          <w:p w:rsidR="00600B68" w:rsidRDefault="00600B68" w:rsidP="00541AE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2D741F">
              <w:rPr>
                <w:rFonts w:ascii="Times New Roman" w:hAnsi="Times New Roman"/>
                <w:sz w:val="24"/>
                <w:szCs w:val="28"/>
              </w:rPr>
              <w:t>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рунтування технічних та якісних характеристик предмета закупівлі:</w:t>
            </w:r>
          </w:p>
          <w:p w:rsidR="00600B68" w:rsidRPr="007F6BD2" w:rsidRDefault="00600B68" w:rsidP="007F6BD2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8E545A" w:rsidRPr="008E545A" w:rsidRDefault="008E545A" w:rsidP="008E545A">
            <w:pPr>
              <w:pStyle w:val="a4"/>
              <w:tabs>
                <w:tab w:val="left" w:pos="851"/>
              </w:tabs>
              <w:spacing w:after="0"/>
              <w:ind w:left="0"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45A">
              <w:rPr>
                <w:rFonts w:ascii="Times New Roman" w:hAnsi="Times New Roman"/>
                <w:b/>
                <w:sz w:val="24"/>
                <w:szCs w:val="24"/>
              </w:rPr>
              <w:t>Технічні та якісні характеристики предмета закупівлі визначені відповідно до потреб замовника та з урахуванням нормативних документів у сфері стандартизації.</w:t>
            </w:r>
          </w:p>
          <w:p w:rsidR="00600B68" w:rsidRPr="008E545A" w:rsidRDefault="008E545A" w:rsidP="008E545A">
            <w:pPr>
              <w:widowControl w:val="0"/>
              <w:tabs>
                <w:tab w:val="left" w:pos="851"/>
              </w:tabs>
              <w:spacing w:after="0"/>
              <w:ind w:firstLine="454"/>
              <w:jc w:val="both"/>
            </w:pPr>
            <w:r w:rsidRPr="008E545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П</w:t>
            </w:r>
            <w:r w:rsidRPr="008E54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остачання теплової енергії, як товару, повинно </w:t>
            </w:r>
            <w:proofErr w:type="spellStart"/>
            <w:r w:rsidRPr="008E54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здійснюватись</w:t>
            </w:r>
            <w:proofErr w:type="spellEnd"/>
            <w:r w:rsidRPr="008E54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відповідно до вимог Закону України «Про теплопостачання» від </w:t>
            </w:r>
            <w:r w:rsidRPr="008E5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02</w:t>
            </w:r>
            <w:r w:rsidRPr="008E54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.06.2005 року №2633-ІV, Правил користування тепловою енергією, затверджених постановою Кабінету Міністрів України</w:t>
            </w:r>
            <w:r w:rsidRPr="008E5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54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від 03.10.2007 року №1198, Правил технічної експлуатації теплових установок і мереж, затверджених наказом Міністерства палива та енергетики Украї</w:t>
            </w:r>
            <w:r w:rsidRPr="008E5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ни</w:t>
            </w:r>
            <w:r w:rsidRPr="008E54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від 14.02.2007 року №71, Закону України </w:t>
            </w:r>
            <w:r w:rsidRPr="008E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 публічні закупівлі» від 25.12.2015 року № 922-VIII </w:t>
            </w:r>
            <w:r w:rsidRPr="008E5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(далі — Закон)</w:t>
            </w:r>
            <w:r w:rsidRPr="008E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</w:tc>
      </w:tr>
      <w:tr w:rsidR="00EB733F" w:rsidRPr="00541AEB" w:rsidTr="00541AEB">
        <w:tc>
          <w:tcPr>
            <w:tcW w:w="5408" w:type="dxa"/>
          </w:tcPr>
          <w:p w:rsidR="00EB733F" w:rsidRDefault="00EB733F" w:rsidP="00541AE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Обгрунтування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вибору процедури закупівлі:</w:t>
            </w:r>
          </w:p>
        </w:tc>
        <w:tc>
          <w:tcPr>
            <w:tcW w:w="5382" w:type="dxa"/>
          </w:tcPr>
          <w:p w:rsidR="00EB733F" w:rsidRPr="00EB733F" w:rsidRDefault="008E545A" w:rsidP="007F6BD2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8E545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Згідно ст.5 Закону України "Про природні монополії" Антимонопольний комітет України та його територіальні відділення складають та ведуть електронні версії відповідного переліку суб'єктів природних монополій. Перелік суб'єктів природних монополій в установленому порядку розміщується на офіційному веб-сайті Антимонопольного комітету України (www.amc.gov.ua). Згідно переліку суб'єктів природних монополій Сумської області, розміщеному на офіційному веб-сайті </w:t>
            </w:r>
            <w:r w:rsidRPr="008E545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lastRenderedPageBreak/>
              <w:t>Антимонопольного комітету України ТОВ «</w:t>
            </w:r>
            <w:proofErr w:type="spellStart"/>
            <w:r w:rsidRPr="008E545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Сумитеплоенерго</w:t>
            </w:r>
            <w:proofErr w:type="spellEnd"/>
            <w:r w:rsidRPr="008E545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» відноситься до суб'єктів природних монополій Сумської області. У зв'язку з тим, що транспортування теплової енергії та послуг з постачання для опалення в будівлях КЗСОР «Сумська обласна гімназія-інтернат для талановитих та творчо обдарованих дітей», що розташовані за </w:t>
            </w:r>
            <w:proofErr w:type="spellStart"/>
            <w:r w:rsidRPr="008E545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адресою</w:t>
            </w:r>
            <w:proofErr w:type="spellEnd"/>
            <w:r w:rsidRPr="008E545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: м. Суми, провулок Березовий, 28, здійснюється </w:t>
            </w:r>
            <w:proofErr w:type="spellStart"/>
            <w:r w:rsidRPr="008E545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потужностями</w:t>
            </w:r>
            <w:proofErr w:type="spellEnd"/>
            <w:r w:rsidRPr="008E545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ТОВ «</w:t>
            </w:r>
            <w:proofErr w:type="spellStart"/>
            <w:r w:rsidRPr="008E545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Сумитеплоенерго</w:t>
            </w:r>
            <w:proofErr w:type="spellEnd"/>
            <w:r w:rsidRPr="008E545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» ,яке займає монопольне (домінуюче) становище на ринку ТРАНСПОРТУВАННЯ ТЕПЛОВОЇ ЕНЕРГІЇ МАГІСТРАЛЬНИМИ ТА МІСЦЕВИМИ (РОЗПОДІЛЬЧИМИ) ТЕПЛОВИМИ МЕРЕЖАМИ (в межах території, на якій розташовані діючі мережі), була обрана переговорна процедура закупівлі. Отже, з технічних причин КЗСОР «Сумська обласна гімназія-інтернат для талановитих та творчо обдарованих дітей» не має можливості одержувати теплову енергію та послуги з постачання гарячої води від іншого постачальника. Таким чином через відсутність конкуренції з технічних причин єдиний можливий постачальник теплової енергії - ТОВ «</w:t>
            </w:r>
            <w:proofErr w:type="spellStart"/>
            <w:r w:rsidRPr="008E545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Сумитеплоенерго</w:t>
            </w:r>
            <w:proofErr w:type="spellEnd"/>
            <w:r w:rsidRPr="008E545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»</w:t>
            </w:r>
          </w:p>
        </w:tc>
      </w:tr>
      <w:tr w:rsidR="00A338DD" w:rsidRPr="00541AEB" w:rsidTr="00541AEB">
        <w:tc>
          <w:tcPr>
            <w:tcW w:w="5408" w:type="dxa"/>
          </w:tcPr>
          <w:p w:rsidR="00A338DD" w:rsidRDefault="00A338DD" w:rsidP="00A338DD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Кількість предмета закупівлі:</w:t>
            </w:r>
          </w:p>
        </w:tc>
        <w:tc>
          <w:tcPr>
            <w:tcW w:w="5382" w:type="dxa"/>
          </w:tcPr>
          <w:p w:rsidR="007F6BD2" w:rsidRDefault="008E545A" w:rsidP="008E5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Теплова енергія(будівлі)</w:t>
            </w:r>
            <w:r w:rsidR="007F6BD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639</w:t>
            </w:r>
            <w:r w:rsidR="007F6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Гкал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E545A" w:rsidRDefault="008E545A" w:rsidP="008E5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45A">
              <w:rPr>
                <w:rFonts w:ascii="Times New Roman" w:hAnsi="Times New Roman"/>
                <w:b/>
                <w:sz w:val="24"/>
                <w:szCs w:val="24"/>
              </w:rPr>
              <w:t>Теплова енергія (гуртожиток)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502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Гкал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E545A" w:rsidRDefault="008E545A" w:rsidP="008E5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45A">
              <w:rPr>
                <w:rFonts w:ascii="Times New Roman" w:hAnsi="Times New Roman"/>
                <w:b/>
                <w:sz w:val="24"/>
                <w:szCs w:val="24"/>
              </w:rPr>
              <w:t>Гаряча вода (будівлі)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980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E545A" w:rsidRPr="00A338DD" w:rsidRDefault="008E545A" w:rsidP="008E5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45A">
              <w:rPr>
                <w:rFonts w:ascii="Times New Roman" w:hAnsi="Times New Roman"/>
                <w:b/>
                <w:sz w:val="24"/>
                <w:szCs w:val="24"/>
              </w:rPr>
              <w:t>Гаряча вода (гуртожиток)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1224.748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338DD" w:rsidRPr="00541AEB" w:rsidTr="00541AEB">
        <w:tc>
          <w:tcPr>
            <w:tcW w:w="5408" w:type="dxa"/>
          </w:tcPr>
          <w:p w:rsidR="00A338DD" w:rsidRDefault="00A338DD" w:rsidP="00A338DD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 предмета закупівлі:</w:t>
            </w:r>
          </w:p>
        </w:tc>
        <w:tc>
          <w:tcPr>
            <w:tcW w:w="5382" w:type="dxa"/>
          </w:tcPr>
          <w:p w:rsidR="00A338DD" w:rsidRDefault="008E545A" w:rsidP="008E5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2 773 241,00</w:t>
            </w:r>
            <w:r w:rsidR="00741486">
              <w:rPr>
                <w:rFonts w:ascii="Times New Roman" w:hAnsi="Times New Roman"/>
                <w:b/>
                <w:sz w:val="24"/>
                <w:szCs w:val="24"/>
              </w:rPr>
              <w:t xml:space="preserve"> грн.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дві мільйони сімсот сімдесят три тисячі двісті сорок одна</w:t>
            </w:r>
            <w:r w:rsidR="00566E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05CE">
              <w:rPr>
                <w:rFonts w:ascii="Times New Roman" w:hAnsi="Times New Roman"/>
                <w:b/>
                <w:sz w:val="24"/>
                <w:szCs w:val="24"/>
              </w:rPr>
              <w:t>грн. 0</w:t>
            </w:r>
            <w:r w:rsidR="00A338DD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A338DD">
              <w:rPr>
                <w:rFonts w:ascii="Times New Roman" w:hAnsi="Times New Roman"/>
                <w:b/>
                <w:sz w:val="24"/>
                <w:szCs w:val="24"/>
              </w:rPr>
              <w:t>коп</w:t>
            </w:r>
            <w:proofErr w:type="spellEnd"/>
            <w:r w:rsidR="00A338DD">
              <w:rPr>
                <w:rFonts w:ascii="Times New Roman" w:hAnsi="Times New Roman"/>
                <w:b/>
                <w:sz w:val="24"/>
                <w:szCs w:val="24"/>
              </w:rPr>
              <w:t>) з ПДВ.</w:t>
            </w:r>
          </w:p>
        </w:tc>
      </w:tr>
      <w:tr w:rsidR="00A338DD" w:rsidRPr="00541AEB" w:rsidTr="00541AEB">
        <w:tc>
          <w:tcPr>
            <w:tcW w:w="5408" w:type="dxa"/>
          </w:tcPr>
          <w:p w:rsidR="00724058" w:rsidRDefault="00A338DD" w:rsidP="00724058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="002D741F" w:rsidRPr="002D741F">
              <w:rPr>
                <w:rFonts w:ascii="Times New Roman" w:hAnsi="Times New Roman"/>
                <w:sz w:val="24"/>
                <w:szCs w:val="28"/>
              </w:rPr>
              <w:t>ґ</w:t>
            </w:r>
            <w:r w:rsid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рунтування очікуваної вартості</w:t>
            </w:r>
          </w:p>
          <w:p w:rsidR="00A338DD" w:rsidRPr="00724058" w:rsidRDefault="00A338DD" w:rsidP="0072405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закупівлі:</w:t>
            </w:r>
          </w:p>
        </w:tc>
        <w:tc>
          <w:tcPr>
            <w:tcW w:w="5382" w:type="dxa"/>
          </w:tcPr>
          <w:p w:rsidR="00A338DD" w:rsidRPr="008E545A" w:rsidRDefault="008E545A" w:rsidP="008E545A">
            <w:pPr>
              <w:snapToGrid w:val="0"/>
              <w:spacing w:after="0"/>
              <w:ind w:firstLine="454"/>
              <w:jc w:val="both"/>
              <w:rPr>
                <w:b/>
              </w:rPr>
            </w:pPr>
            <w:r w:rsidRPr="008E54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Відповідно до </w:t>
            </w:r>
            <w:r w:rsidRPr="008E545A">
              <w:rPr>
                <w:rStyle w:val="qacpvclassifier"/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  <w:lang w:eastAsia="zh-CN"/>
              </w:rPr>
              <w:t xml:space="preserve">Рішення </w:t>
            </w:r>
            <w:r w:rsidRPr="008E545A">
              <w:rPr>
                <w:rStyle w:val="qacpvclassifier"/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>Виконавчого комітету Сумської міської ради від 06.11.2021 року №637 “Про внесення змін до Рішення Виконавчого комітету від 12.10.2021 №623 «Про встановлення Товариству з обмеженою відповідальністю «</w:t>
            </w:r>
            <w:r w:rsidRPr="008E545A">
              <w:rPr>
                <w:rStyle w:val="rvts23"/>
                <w:rFonts w:eastAsia="Times New Roman"/>
                <w:b/>
                <w:color w:val="000000"/>
                <w:spacing w:val="-5"/>
                <w:sz w:val="24"/>
                <w:szCs w:val="24"/>
                <w:lang w:eastAsia="zh-CN"/>
              </w:rPr>
              <w:t>СУМИТЕПЛОЕНЕРГО</w:t>
            </w:r>
            <w:r w:rsidRPr="008E545A">
              <w:rPr>
                <w:rStyle w:val="qacpvclassifier"/>
                <w:rFonts w:ascii="Times New Roman" w:eastAsia="Calibri" w:hAnsi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» тарифів на теплову енергію, її виробництво, транспортування та постачання, тарифів на послуги з постачання теплової енергії та постачання гарячої води» встановлено </w:t>
            </w:r>
            <w:r w:rsidRPr="008E545A">
              <w:rPr>
                <w:rStyle w:val="qacpvclassifier"/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  <w:lang w:eastAsia="zh-CN"/>
              </w:rPr>
              <w:t xml:space="preserve">тариф на послуги з постачання теплової енергії для потреб бюджетних установ 2630,57 грн з ПДВ за 1 </w:t>
            </w:r>
            <w:proofErr w:type="spellStart"/>
            <w:r w:rsidRPr="008E545A">
              <w:rPr>
                <w:rStyle w:val="qacpvclassifier"/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  <w:lang w:eastAsia="zh-CN"/>
              </w:rPr>
              <w:t>Гкал</w:t>
            </w:r>
            <w:proofErr w:type="spellEnd"/>
            <w:r w:rsidRPr="008E545A">
              <w:rPr>
                <w:rStyle w:val="qacpvclassifier"/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  <w:lang w:eastAsia="zh-CN"/>
              </w:rPr>
              <w:t xml:space="preserve"> (2192,14 грн без ПДВ)</w:t>
            </w:r>
            <w:r w:rsidRPr="008E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724058" w:rsidRDefault="007240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4058" w:rsidRDefault="00724058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24058" w:rsidRPr="00724058" w:rsidTr="00724058">
        <w:tc>
          <w:tcPr>
            <w:tcW w:w="5395" w:type="dxa"/>
          </w:tcPr>
          <w:p w:rsidR="00724058" w:rsidRPr="00724058" w:rsidRDefault="007240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>Уповноважена особа</w:t>
            </w:r>
          </w:p>
        </w:tc>
        <w:tc>
          <w:tcPr>
            <w:tcW w:w="5395" w:type="dxa"/>
          </w:tcPr>
          <w:p w:rsidR="00724058" w:rsidRPr="00724058" w:rsidRDefault="00724058" w:rsidP="007240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>Вадим ГРИЦЕНКО</w:t>
            </w:r>
          </w:p>
        </w:tc>
      </w:tr>
    </w:tbl>
    <w:p w:rsidR="00724058" w:rsidRPr="00724058" w:rsidRDefault="0072405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724058" w:rsidRPr="00724058" w:rsidSect="00541A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4E28"/>
    <w:multiLevelType w:val="multilevel"/>
    <w:tmpl w:val="326239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4C6A30B0"/>
    <w:multiLevelType w:val="multilevel"/>
    <w:tmpl w:val="326239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6EF8001B"/>
    <w:multiLevelType w:val="multilevel"/>
    <w:tmpl w:val="326239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EB"/>
    <w:rsid w:val="00145C4A"/>
    <w:rsid w:val="002D741F"/>
    <w:rsid w:val="004005CE"/>
    <w:rsid w:val="004E0E0C"/>
    <w:rsid w:val="00541AEB"/>
    <w:rsid w:val="00566E93"/>
    <w:rsid w:val="00600B68"/>
    <w:rsid w:val="00724058"/>
    <w:rsid w:val="00741486"/>
    <w:rsid w:val="007F6BD2"/>
    <w:rsid w:val="008E545A"/>
    <w:rsid w:val="00A338DD"/>
    <w:rsid w:val="00EB733F"/>
    <w:rsid w:val="00F23A7C"/>
    <w:rsid w:val="00F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6BC3"/>
  <w15:chartTrackingRefBased/>
  <w15:docId w15:val="{4D9B6EC0-D467-44AF-B197-743F5E8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EB"/>
    <w:pPr>
      <w:suppressAutoHyphens/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AE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qacpvclassifier">
    <w:name w:val="qa_cpv_classifier"/>
    <w:basedOn w:val="a0"/>
    <w:qFormat/>
    <w:rsid w:val="008E545A"/>
    <w:rPr>
      <w:rFonts w:cs="Times New Roman"/>
    </w:rPr>
  </w:style>
  <w:style w:type="character" w:customStyle="1" w:styleId="rvts23">
    <w:name w:val="rvts23"/>
    <w:qFormat/>
    <w:rsid w:val="008E545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Мой_ПК</dc:creator>
  <cp:keywords/>
  <dc:description/>
  <cp:lastModifiedBy>Мой_ПК</cp:lastModifiedBy>
  <cp:revision>10</cp:revision>
  <dcterms:created xsi:type="dcterms:W3CDTF">2022-01-31T06:02:00Z</dcterms:created>
  <dcterms:modified xsi:type="dcterms:W3CDTF">2022-01-31T12:01:00Z</dcterms:modified>
</cp:coreProperties>
</file>